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A9" w:rsidRPr="009E4EB2" w:rsidRDefault="00967CA3" w:rsidP="009E4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SINGLE IMPROVEMENT PLAN</w:t>
      </w:r>
      <w:r w:rsidR="009E4EB2">
        <w:rPr>
          <w:b/>
          <w:sz w:val="20"/>
          <w:szCs w:val="20"/>
        </w:rPr>
        <w:t xml:space="preserve"> 2015/16</w:t>
      </w:r>
      <w:r>
        <w:rPr>
          <w:b/>
          <w:sz w:val="20"/>
          <w:szCs w:val="20"/>
        </w:rPr>
        <w:t xml:space="preserve"> –</w:t>
      </w:r>
      <w:r w:rsidR="00546555">
        <w:rPr>
          <w:b/>
          <w:sz w:val="20"/>
          <w:szCs w:val="20"/>
        </w:rPr>
        <w:t>GOVERNANCE SECTION</w:t>
      </w:r>
      <w:r w:rsidR="00522573">
        <w:rPr>
          <w:b/>
          <w:sz w:val="20"/>
          <w:szCs w:val="20"/>
        </w:rPr>
        <w:t xml:space="preserve"> (to be evaluated in June 2016)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8"/>
        <w:gridCol w:w="1576"/>
        <w:gridCol w:w="2976"/>
        <w:gridCol w:w="1843"/>
        <w:gridCol w:w="1450"/>
        <w:gridCol w:w="2176"/>
      </w:tblGrid>
      <w:tr w:rsidR="00C82EA9" w:rsidRPr="000C6E78" w:rsidTr="00933755">
        <w:tc>
          <w:tcPr>
            <w:tcW w:w="3948" w:type="dxa"/>
          </w:tcPr>
          <w:p w:rsidR="00C82EA9" w:rsidRPr="009E4EB2" w:rsidRDefault="00C82EA9" w:rsidP="009E4EB2">
            <w:pPr>
              <w:jc w:val="center"/>
              <w:rPr>
                <w:b/>
                <w:sz w:val="20"/>
                <w:szCs w:val="20"/>
              </w:rPr>
            </w:pPr>
            <w:r w:rsidRPr="009E4EB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76" w:type="dxa"/>
          </w:tcPr>
          <w:p w:rsidR="00C82EA9" w:rsidRPr="009E4EB2" w:rsidRDefault="00C82EA9" w:rsidP="009E4EB2">
            <w:pPr>
              <w:jc w:val="center"/>
              <w:rPr>
                <w:b/>
                <w:sz w:val="20"/>
                <w:szCs w:val="20"/>
              </w:rPr>
            </w:pPr>
            <w:r w:rsidRPr="009E4EB2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976" w:type="dxa"/>
          </w:tcPr>
          <w:p w:rsidR="00C82EA9" w:rsidRPr="009E4EB2" w:rsidRDefault="00C82EA9" w:rsidP="009E4EB2">
            <w:pPr>
              <w:jc w:val="center"/>
              <w:rPr>
                <w:b/>
                <w:sz w:val="20"/>
                <w:szCs w:val="20"/>
              </w:rPr>
            </w:pPr>
            <w:r w:rsidRPr="009E4EB2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843" w:type="dxa"/>
          </w:tcPr>
          <w:p w:rsidR="00C82EA9" w:rsidRPr="009E4EB2" w:rsidRDefault="00C82EA9" w:rsidP="009E4EB2">
            <w:pPr>
              <w:jc w:val="center"/>
              <w:rPr>
                <w:b/>
                <w:sz w:val="20"/>
                <w:szCs w:val="20"/>
              </w:rPr>
            </w:pPr>
            <w:r w:rsidRPr="009E4EB2"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1450" w:type="dxa"/>
          </w:tcPr>
          <w:p w:rsidR="00C82EA9" w:rsidRPr="009E4EB2" w:rsidRDefault="00C82EA9" w:rsidP="009E4EB2">
            <w:pPr>
              <w:jc w:val="center"/>
              <w:rPr>
                <w:b/>
                <w:sz w:val="20"/>
                <w:szCs w:val="20"/>
              </w:rPr>
            </w:pPr>
            <w:r w:rsidRPr="009E4EB2">
              <w:rPr>
                <w:b/>
                <w:sz w:val="20"/>
                <w:szCs w:val="20"/>
              </w:rPr>
              <w:t>Monitored by</w:t>
            </w:r>
          </w:p>
        </w:tc>
        <w:tc>
          <w:tcPr>
            <w:tcW w:w="2176" w:type="dxa"/>
          </w:tcPr>
          <w:p w:rsidR="00C82EA9" w:rsidRPr="009E4EB2" w:rsidRDefault="00C82EA9" w:rsidP="009E4EB2">
            <w:pPr>
              <w:jc w:val="center"/>
              <w:rPr>
                <w:b/>
                <w:sz w:val="20"/>
                <w:szCs w:val="20"/>
              </w:rPr>
            </w:pPr>
            <w:r w:rsidRPr="009E4EB2">
              <w:rPr>
                <w:b/>
                <w:sz w:val="20"/>
                <w:szCs w:val="20"/>
              </w:rPr>
              <w:t>Monitoring</w:t>
            </w:r>
          </w:p>
        </w:tc>
      </w:tr>
      <w:tr w:rsidR="00C82EA9" w:rsidRPr="000C6E78" w:rsidTr="00933755">
        <w:tc>
          <w:tcPr>
            <w:tcW w:w="3948" w:type="dxa"/>
          </w:tcPr>
          <w:p w:rsidR="00C82EA9" w:rsidRPr="009E4EB2" w:rsidRDefault="009E4EB2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4EB2">
              <w:rPr>
                <w:sz w:val="20"/>
                <w:szCs w:val="20"/>
              </w:rPr>
              <w:t>Develop the GB’s ability to scrutinise the sc</w:t>
            </w:r>
            <w:r w:rsidR="006A4B52">
              <w:rPr>
                <w:sz w:val="20"/>
                <w:szCs w:val="20"/>
              </w:rPr>
              <w:t xml:space="preserve">hool’s Performance Information </w:t>
            </w:r>
            <w:r w:rsidRPr="009E4EB2">
              <w:rPr>
                <w:sz w:val="20"/>
                <w:szCs w:val="20"/>
              </w:rPr>
              <w:t xml:space="preserve">and its </w:t>
            </w:r>
            <w:r w:rsidR="00766544" w:rsidRPr="009E4EB2">
              <w:rPr>
                <w:sz w:val="20"/>
                <w:szCs w:val="20"/>
              </w:rPr>
              <w:t>understanding of ‘Assessment without levels’ so that the GB can enhance its monitoring and evaluation role, the</w:t>
            </w:r>
            <w:r w:rsidR="00044C9D" w:rsidRPr="009E4EB2">
              <w:rPr>
                <w:sz w:val="20"/>
                <w:szCs w:val="20"/>
              </w:rPr>
              <w:t>reby driving school improvement</w:t>
            </w:r>
          </w:p>
        </w:tc>
        <w:tc>
          <w:tcPr>
            <w:tcW w:w="1576" w:type="dxa"/>
          </w:tcPr>
          <w:p w:rsidR="00C82EA9" w:rsidRPr="006A4B52" w:rsidRDefault="005651B2" w:rsidP="005651B2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Chair of the Standards Committee &amp; HT</w:t>
            </w:r>
          </w:p>
        </w:tc>
        <w:tc>
          <w:tcPr>
            <w:tcW w:w="2976" w:type="dxa"/>
          </w:tcPr>
          <w:p w:rsidR="00C82EA9" w:rsidRDefault="00044C9D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at GB meetings</w:t>
            </w:r>
            <w:r w:rsidR="009E4EB2">
              <w:rPr>
                <w:sz w:val="20"/>
                <w:szCs w:val="20"/>
              </w:rPr>
              <w:t>.</w:t>
            </w:r>
          </w:p>
          <w:p w:rsidR="00044C9D" w:rsidRPr="000C6E78" w:rsidRDefault="00044C9D" w:rsidP="00090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LDBS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HLT</w:t>
            </w:r>
            <w:proofErr w:type="spellEnd"/>
            <w:r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1843" w:type="dxa"/>
          </w:tcPr>
          <w:p w:rsidR="00C82EA9" w:rsidRPr="006A4B52" w:rsidRDefault="00725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Autumn &amp; spring terms</w:t>
            </w:r>
          </w:p>
        </w:tc>
        <w:tc>
          <w:tcPr>
            <w:tcW w:w="1450" w:type="dxa"/>
          </w:tcPr>
          <w:p w:rsidR="005651B2" w:rsidRPr="006A4B52" w:rsidRDefault="005651B2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Standards Committee.</w:t>
            </w:r>
          </w:p>
          <w:p w:rsidR="00C82EA9" w:rsidRPr="006A4B52" w:rsidRDefault="00546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Strategy Committee</w:t>
            </w:r>
          </w:p>
        </w:tc>
        <w:tc>
          <w:tcPr>
            <w:tcW w:w="2176" w:type="dxa"/>
          </w:tcPr>
          <w:p w:rsidR="00C82EA9" w:rsidRPr="000C6E78" w:rsidRDefault="00546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Minutes</w:t>
            </w:r>
            <w:r w:rsidR="009E4EB2">
              <w:rPr>
                <w:sz w:val="20"/>
                <w:szCs w:val="20"/>
              </w:rPr>
              <w:t xml:space="preserve">. </w:t>
            </w:r>
            <w:r w:rsidR="009E4EB2">
              <w:rPr>
                <w:sz w:val="20"/>
                <w:szCs w:val="20"/>
              </w:rPr>
              <w:br/>
              <w:t>Training log.</w:t>
            </w:r>
          </w:p>
        </w:tc>
      </w:tr>
      <w:tr w:rsidR="00C82EA9" w:rsidRPr="000C6E78" w:rsidTr="00933755">
        <w:tc>
          <w:tcPr>
            <w:tcW w:w="3948" w:type="dxa"/>
          </w:tcPr>
          <w:p w:rsidR="00C82EA9" w:rsidRPr="009E4EB2" w:rsidRDefault="00766544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4EB2">
              <w:rPr>
                <w:sz w:val="20"/>
                <w:szCs w:val="20"/>
              </w:rPr>
              <w:t xml:space="preserve">Ensure that the GB’s two main </w:t>
            </w:r>
            <w:r w:rsidRPr="006A4B52">
              <w:rPr>
                <w:sz w:val="20"/>
                <w:szCs w:val="20"/>
              </w:rPr>
              <w:t xml:space="preserve">Committees </w:t>
            </w:r>
            <w:r w:rsidR="005651B2" w:rsidRPr="006A4B52">
              <w:rPr>
                <w:sz w:val="20"/>
                <w:szCs w:val="20"/>
              </w:rPr>
              <w:t>remain quorate</w:t>
            </w:r>
            <w:r w:rsidR="005651B2">
              <w:rPr>
                <w:sz w:val="20"/>
                <w:szCs w:val="20"/>
              </w:rPr>
              <w:t xml:space="preserve"> and </w:t>
            </w:r>
            <w:r w:rsidRPr="009E4EB2">
              <w:rPr>
                <w:sz w:val="20"/>
                <w:szCs w:val="20"/>
              </w:rPr>
              <w:t>are functioning well and that each is monitoring the relevant sections of the ‘Single Improvement Plan’</w:t>
            </w:r>
          </w:p>
        </w:tc>
        <w:tc>
          <w:tcPr>
            <w:tcW w:w="1576" w:type="dxa"/>
          </w:tcPr>
          <w:p w:rsidR="00C82EA9" w:rsidRPr="000C6E78" w:rsidRDefault="00725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of the two Committees</w:t>
            </w:r>
          </w:p>
        </w:tc>
        <w:tc>
          <w:tcPr>
            <w:tcW w:w="2976" w:type="dxa"/>
          </w:tcPr>
          <w:p w:rsidR="00C82EA9" w:rsidRPr="000C6E78" w:rsidRDefault="00C82EA9" w:rsidP="00090E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2EA9" w:rsidRPr="006A4B52" w:rsidRDefault="00546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Throughout the year</w:t>
            </w:r>
          </w:p>
        </w:tc>
        <w:tc>
          <w:tcPr>
            <w:tcW w:w="1450" w:type="dxa"/>
          </w:tcPr>
          <w:p w:rsidR="00C82EA9" w:rsidRPr="006A4B52" w:rsidRDefault="00546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Strategy Committee</w:t>
            </w:r>
          </w:p>
        </w:tc>
        <w:tc>
          <w:tcPr>
            <w:tcW w:w="2176" w:type="dxa"/>
          </w:tcPr>
          <w:p w:rsidR="00C82EA9" w:rsidRPr="000C6E78" w:rsidRDefault="00546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minutes</w:t>
            </w:r>
          </w:p>
        </w:tc>
      </w:tr>
      <w:tr w:rsidR="00C82EA9" w:rsidRPr="000C6E78" w:rsidTr="00933755">
        <w:tc>
          <w:tcPr>
            <w:tcW w:w="3948" w:type="dxa"/>
          </w:tcPr>
          <w:p w:rsidR="00C82EA9" w:rsidRPr="009E4EB2" w:rsidRDefault="00766544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4EB2">
              <w:rPr>
                <w:sz w:val="20"/>
                <w:szCs w:val="20"/>
              </w:rPr>
              <w:t>Ensure that there is structured feedback from children, parents and staff. Occasions for this to be timetabled into the school year</w:t>
            </w:r>
          </w:p>
        </w:tc>
        <w:tc>
          <w:tcPr>
            <w:tcW w:w="1576" w:type="dxa"/>
          </w:tcPr>
          <w:p w:rsidR="00C82EA9" w:rsidRPr="000C6E78" w:rsidRDefault="00725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2976" w:type="dxa"/>
          </w:tcPr>
          <w:p w:rsidR="00C82EA9" w:rsidRPr="000C6E78" w:rsidRDefault="00725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practice from other schools. External providers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‘John Yates School Support Services Ltd’</w:t>
            </w:r>
          </w:p>
        </w:tc>
        <w:tc>
          <w:tcPr>
            <w:tcW w:w="1843" w:type="dxa"/>
          </w:tcPr>
          <w:p w:rsidR="00C82EA9" w:rsidRPr="006A4B52" w:rsidRDefault="00546555" w:rsidP="005651B2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 xml:space="preserve">Feedback, analysis and action plan by </w:t>
            </w:r>
            <w:r w:rsidR="005651B2" w:rsidRPr="006A4B52">
              <w:rPr>
                <w:sz w:val="20"/>
                <w:szCs w:val="20"/>
              </w:rPr>
              <w:t xml:space="preserve">May </w:t>
            </w:r>
            <w:r w:rsidRPr="006A4B52">
              <w:rPr>
                <w:sz w:val="20"/>
                <w:szCs w:val="20"/>
              </w:rPr>
              <w:t>2016</w:t>
            </w:r>
          </w:p>
        </w:tc>
        <w:tc>
          <w:tcPr>
            <w:tcW w:w="1450" w:type="dxa"/>
          </w:tcPr>
          <w:p w:rsidR="00C82EA9" w:rsidRPr="006A4B52" w:rsidRDefault="00546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GB</w:t>
            </w:r>
          </w:p>
        </w:tc>
        <w:tc>
          <w:tcPr>
            <w:tcW w:w="2176" w:type="dxa"/>
          </w:tcPr>
          <w:p w:rsidR="00C82EA9" w:rsidRPr="000C6E78" w:rsidRDefault="00546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Questionnaires &amp; reports</w:t>
            </w:r>
            <w:r w:rsidR="00EE6912">
              <w:rPr>
                <w:sz w:val="20"/>
                <w:szCs w:val="20"/>
              </w:rPr>
              <w:t xml:space="preserve">. </w:t>
            </w:r>
            <w:proofErr w:type="spellStart"/>
            <w:r w:rsidR="00EE6912">
              <w:rPr>
                <w:sz w:val="20"/>
                <w:szCs w:val="20"/>
              </w:rPr>
              <w:t>Headteacher’s</w:t>
            </w:r>
            <w:proofErr w:type="spellEnd"/>
            <w:r w:rsidR="00EE6912">
              <w:rPr>
                <w:sz w:val="20"/>
                <w:szCs w:val="20"/>
              </w:rPr>
              <w:t xml:space="preserve"> analysis</w:t>
            </w:r>
          </w:p>
        </w:tc>
      </w:tr>
      <w:tr w:rsidR="00C82EA9" w:rsidRPr="000C6E78" w:rsidTr="00933755">
        <w:tc>
          <w:tcPr>
            <w:tcW w:w="3948" w:type="dxa"/>
          </w:tcPr>
          <w:p w:rsidR="00C82EA9" w:rsidRPr="009E4EB2" w:rsidRDefault="005001E4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to support</w:t>
            </w:r>
            <w:r w:rsidR="00766544" w:rsidRPr="009E4EB2">
              <w:rPr>
                <w:sz w:val="20"/>
                <w:szCs w:val="20"/>
              </w:rPr>
              <w:t xml:space="preserve"> Link Governors so that they can provide appropriate challenge and support to the school</w:t>
            </w:r>
          </w:p>
        </w:tc>
        <w:tc>
          <w:tcPr>
            <w:tcW w:w="1576" w:type="dxa"/>
          </w:tcPr>
          <w:p w:rsidR="00C82EA9" w:rsidRPr="000C6E78" w:rsidRDefault="00725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&amp; Chair</w:t>
            </w:r>
          </w:p>
        </w:tc>
        <w:tc>
          <w:tcPr>
            <w:tcW w:w="2976" w:type="dxa"/>
          </w:tcPr>
          <w:p w:rsidR="00C82EA9" w:rsidRPr="000C6E78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practice from other schools. </w:t>
            </w:r>
            <w:proofErr w:type="spellStart"/>
            <w:r>
              <w:rPr>
                <w:sz w:val="20"/>
                <w:szCs w:val="20"/>
              </w:rPr>
              <w:t>LDBS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HLT</w:t>
            </w:r>
            <w:proofErr w:type="spellEnd"/>
            <w:r>
              <w:rPr>
                <w:sz w:val="20"/>
                <w:szCs w:val="20"/>
              </w:rPr>
              <w:t xml:space="preserve"> advice</w:t>
            </w:r>
          </w:p>
        </w:tc>
        <w:tc>
          <w:tcPr>
            <w:tcW w:w="1843" w:type="dxa"/>
          </w:tcPr>
          <w:p w:rsidR="00C82EA9" w:rsidRPr="006A4B52" w:rsidRDefault="00546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Throughout the year</w:t>
            </w:r>
          </w:p>
        </w:tc>
        <w:tc>
          <w:tcPr>
            <w:tcW w:w="1450" w:type="dxa"/>
          </w:tcPr>
          <w:p w:rsidR="00C82EA9" w:rsidRPr="006A4B52" w:rsidRDefault="005465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Strategy Committee</w:t>
            </w:r>
          </w:p>
        </w:tc>
        <w:tc>
          <w:tcPr>
            <w:tcW w:w="2176" w:type="dxa"/>
          </w:tcPr>
          <w:p w:rsidR="00C82EA9" w:rsidRPr="000C6E78" w:rsidRDefault="005465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Walk reports</w:t>
            </w:r>
          </w:p>
        </w:tc>
      </w:tr>
      <w:tr w:rsidR="009E4EB2" w:rsidRPr="000C6E78" w:rsidTr="00933755">
        <w:tc>
          <w:tcPr>
            <w:tcW w:w="3948" w:type="dxa"/>
          </w:tcPr>
          <w:p w:rsidR="009E4EB2" w:rsidRPr="009E4EB2" w:rsidRDefault="009E4EB2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4EB2">
              <w:rPr>
                <w:sz w:val="20"/>
                <w:szCs w:val="20"/>
              </w:rPr>
              <w:t>Governors to ensure that Performance Management processes are being effectively used by leaders to impact on the quality of teaching and learning, thereby ensuring that pupil outcomes are improved.</w:t>
            </w:r>
          </w:p>
        </w:tc>
        <w:tc>
          <w:tcPr>
            <w:tcW w:w="1576" w:type="dxa"/>
          </w:tcPr>
          <w:p w:rsidR="009E4EB2" w:rsidRDefault="009E4EB2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the Resources Committee</w:t>
            </w:r>
          </w:p>
        </w:tc>
        <w:tc>
          <w:tcPr>
            <w:tcW w:w="2976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 xml:space="preserve">Good practice from other schools. </w:t>
            </w:r>
            <w:proofErr w:type="spellStart"/>
            <w:r w:rsidRPr="006A4B52">
              <w:rPr>
                <w:sz w:val="20"/>
                <w:szCs w:val="20"/>
              </w:rPr>
              <w:t>LDBS</w:t>
            </w:r>
            <w:proofErr w:type="spellEnd"/>
            <w:r w:rsidRPr="006A4B52">
              <w:rPr>
                <w:sz w:val="20"/>
                <w:szCs w:val="20"/>
              </w:rPr>
              <w:t xml:space="preserve"> and </w:t>
            </w:r>
            <w:proofErr w:type="spellStart"/>
            <w:r w:rsidRPr="006A4B52">
              <w:rPr>
                <w:sz w:val="20"/>
                <w:szCs w:val="20"/>
              </w:rPr>
              <w:t>HLT</w:t>
            </w:r>
            <w:proofErr w:type="spellEnd"/>
            <w:r w:rsidRPr="006A4B52">
              <w:rPr>
                <w:sz w:val="20"/>
                <w:szCs w:val="20"/>
              </w:rPr>
              <w:t xml:space="preserve"> advice</w:t>
            </w:r>
            <w:r w:rsidR="005651B2" w:rsidRPr="006A4B52">
              <w:rPr>
                <w:sz w:val="20"/>
                <w:szCs w:val="20"/>
              </w:rPr>
              <w:t>.</w:t>
            </w:r>
          </w:p>
          <w:p w:rsidR="005651B2" w:rsidRPr="005651B2" w:rsidRDefault="005651B2" w:rsidP="005651B2">
            <w:pPr>
              <w:rPr>
                <w:b/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Up to date performance information showing pupil outcomes.</w:t>
            </w:r>
          </w:p>
        </w:tc>
        <w:tc>
          <w:tcPr>
            <w:tcW w:w="1843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Throughout the year</w:t>
            </w:r>
          </w:p>
        </w:tc>
        <w:tc>
          <w:tcPr>
            <w:tcW w:w="1450" w:type="dxa"/>
          </w:tcPr>
          <w:p w:rsidR="009E4EB2" w:rsidRPr="006A4B52" w:rsidRDefault="009E4EB2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Resources Committee</w:t>
            </w:r>
          </w:p>
        </w:tc>
        <w:tc>
          <w:tcPr>
            <w:tcW w:w="2176" w:type="dxa"/>
          </w:tcPr>
          <w:p w:rsidR="009E4EB2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minutes</w:t>
            </w:r>
          </w:p>
        </w:tc>
      </w:tr>
      <w:tr w:rsidR="009E4EB2" w:rsidRPr="000C6E78" w:rsidTr="00933755">
        <w:tc>
          <w:tcPr>
            <w:tcW w:w="3948" w:type="dxa"/>
          </w:tcPr>
          <w:p w:rsidR="009E4EB2" w:rsidRPr="009E4EB2" w:rsidRDefault="009E4EB2" w:rsidP="009E4EB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9E4EB2">
              <w:rPr>
                <w:sz w:val="20"/>
                <w:szCs w:val="20"/>
              </w:rPr>
              <w:t>Headteacher</w:t>
            </w:r>
            <w:proofErr w:type="spellEnd"/>
            <w:r w:rsidRPr="009E4EB2">
              <w:rPr>
                <w:sz w:val="20"/>
                <w:szCs w:val="20"/>
              </w:rPr>
              <w:t xml:space="preserve"> Performance Management </w:t>
            </w:r>
            <w:r w:rsidRPr="006A4B52">
              <w:rPr>
                <w:sz w:val="20"/>
                <w:szCs w:val="20"/>
              </w:rPr>
              <w:t>undertaken w</w:t>
            </w:r>
            <w:r w:rsidR="005651B2" w:rsidRPr="006A4B52">
              <w:rPr>
                <w:sz w:val="20"/>
                <w:szCs w:val="20"/>
              </w:rPr>
              <w:t>ithin the recommended timeframe and to good effect.</w:t>
            </w:r>
          </w:p>
        </w:tc>
        <w:tc>
          <w:tcPr>
            <w:tcW w:w="1576" w:type="dxa"/>
          </w:tcPr>
          <w:p w:rsidR="009E4EB2" w:rsidRDefault="009E4EB2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</w:t>
            </w:r>
          </w:p>
        </w:tc>
        <w:tc>
          <w:tcPr>
            <w:tcW w:w="2976" w:type="dxa"/>
          </w:tcPr>
          <w:p w:rsidR="009E4EB2" w:rsidRPr="000C6E78" w:rsidRDefault="00933755" w:rsidP="00090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LDBS</w:t>
            </w:r>
            <w:proofErr w:type="spellEnd"/>
            <w:r>
              <w:rPr>
                <w:sz w:val="20"/>
                <w:szCs w:val="20"/>
              </w:rPr>
              <w:t xml:space="preserve"> facilitator</w:t>
            </w:r>
          </w:p>
        </w:tc>
        <w:tc>
          <w:tcPr>
            <w:tcW w:w="1843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Autumn term</w:t>
            </w:r>
          </w:p>
        </w:tc>
        <w:tc>
          <w:tcPr>
            <w:tcW w:w="1450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Completion reported to full GB</w:t>
            </w:r>
          </w:p>
        </w:tc>
        <w:tc>
          <w:tcPr>
            <w:tcW w:w="2176" w:type="dxa"/>
          </w:tcPr>
          <w:p w:rsidR="009E4EB2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minutes</w:t>
            </w:r>
          </w:p>
        </w:tc>
      </w:tr>
      <w:tr w:rsidR="009E4EB2" w:rsidRPr="000C6E78" w:rsidTr="00933755">
        <w:tc>
          <w:tcPr>
            <w:tcW w:w="3948" w:type="dxa"/>
          </w:tcPr>
          <w:p w:rsidR="009E4EB2" w:rsidRPr="009E4EB2" w:rsidRDefault="009E4EB2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4EB2">
              <w:rPr>
                <w:sz w:val="20"/>
                <w:szCs w:val="20"/>
              </w:rPr>
              <w:t>Governors evaluate their action plan and revise it to ensure that they are holding the school to account.</w:t>
            </w:r>
          </w:p>
        </w:tc>
        <w:tc>
          <w:tcPr>
            <w:tcW w:w="1576" w:type="dxa"/>
          </w:tcPr>
          <w:p w:rsidR="009E4EB2" w:rsidRDefault="009E4EB2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2976" w:type="dxa"/>
          </w:tcPr>
          <w:p w:rsidR="009E4EB2" w:rsidRPr="000C6E78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Strategy Committee</w:t>
            </w:r>
          </w:p>
        </w:tc>
        <w:tc>
          <w:tcPr>
            <w:tcW w:w="1843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Throughout the year</w:t>
            </w:r>
          </w:p>
        </w:tc>
        <w:tc>
          <w:tcPr>
            <w:tcW w:w="1450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Strategy Committee</w:t>
            </w:r>
          </w:p>
        </w:tc>
        <w:tc>
          <w:tcPr>
            <w:tcW w:w="2176" w:type="dxa"/>
          </w:tcPr>
          <w:p w:rsidR="009E4EB2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minutes</w:t>
            </w:r>
          </w:p>
        </w:tc>
      </w:tr>
      <w:tr w:rsidR="009E4EB2" w:rsidRPr="000C6E78" w:rsidTr="005651B2">
        <w:trPr>
          <w:trHeight w:val="624"/>
        </w:trPr>
        <w:tc>
          <w:tcPr>
            <w:tcW w:w="3948" w:type="dxa"/>
          </w:tcPr>
          <w:p w:rsidR="009E4EB2" w:rsidRPr="009E4EB2" w:rsidRDefault="009E4EB2" w:rsidP="009E4E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4EB2">
              <w:rPr>
                <w:sz w:val="20"/>
                <w:szCs w:val="20"/>
              </w:rPr>
              <w:t>Governors to monitor the impact of pupil premium spending.</w:t>
            </w:r>
          </w:p>
        </w:tc>
        <w:tc>
          <w:tcPr>
            <w:tcW w:w="1576" w:type="dxa"/>
          </w:tcPr>
          <w:p w:rsidR="009E4EB2" w:rsidRDefault="009E4EB2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the Resources Committee</w:t>
            </w:r>
          </w:p>
        </w:tc>
        <w:tc>
          <w:tcPr>
            <w:tcW w:w="2976" w:type="dxa"/>
          </w:tcPr>
          <w:p w:rsidR="005651B2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of the Strategy Committee. </w:t>
            </w:r>
            <w:proofErr w:type="spellStart"/>
            <w:r>
              <w:rPr>
                <w:sz w:val="20"/>
                <w:szCs w:val="20"/>
              </w:rPr>
              <w:t>LDBS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HLT</w:t>
            </w:r>
            <w:proofErr w:type="spellEnd"/>
            <w:r>
              <w:rPr>
                <w:sz w:val="20"/>
                <w:szCs w:val="20"/>
              </w:rPr>
              <w:t xml:space="preserve"> advice</w:t>
            </w:r>
          </w:p>
          <w:p w:rsidR="009E4EB2" w:rsidRPr="005651B2" w:rsidRDefault="005651B2" w:rsidP="005651B2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Throughout the year</w:t>
            </w:r>
          </w:p>
        </w:tc>
        <w:tc>
          <w:tcPr>
            <w:tcW w:w="1450" w:type="dxa"/>
          </w:tcPr>
          <w:p w:rsidR="009E4EB2" w:rsidRPr="006A4B52" w:rsidRDefault="00933755" w:rsidP="00090ED3">
            <w:pPr>
              <w:rPr>
                <w:sz w:val="20"/>
                <w:szCs w:val="20"/>
              </w:rPr>
            </w:pPr>
            <w:r w:rsidRPr="006A4B52">
              <w:rPr>
                <w:sz w:val="20"/>
                <w:szCs w:val="20"/>
              </w:rPr>
              <w:t>Resources Committee</w:t>
            </w:r>
          </w:p>
        </w:tc>
        <w:tc>
          <w:tcPr>
            <w:tcW w:w="2176" w:type="dxa"/>
          </w:tcPr>
          <w:p w:rsidR="009E4EB2" w:rsidRDefault="00933755" w:rsidP="0009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minutes</w:t>
            </w:r>
          </w:p>
        </w:tc>
      </w:tr>
    </w:tbl>
    <w:p w:rsidR="00C82EA9" w:rsidRPr="000C6E78" w:rsidRDefault="00C82EA9">
      <w:pPr>
        <w:rPr>
          <w:sz w:val="20"/>
          <w:szCs w:val="20"/>
        </w:rPr>
      </w:pPr>
    </w:p>
    <w:sectPr w:rsidR="00C82EA9" w:rsidRPr="000C6E78" w:rsidSect="005651B2">
      <w:footerReference w:type="default" r:id="rId7"/>
      <w:pgSz w:w="16838" w:h="11906" w:orient="landscape"/>
      <w:pgMar w:top="964" w:right="1021" w:bottom="1021" w:left="96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1E" w:rsidRDefault="00301C1E" w:rsidP="00546555">
      <w:pPr>
        <w:spacing w:after="0" w:line="240" w:lineRule="auto"/>
      </w:pPr>
      <w:r>
        <w:separator/>
      </w:r>
    </w:p>
  </w:endnote>
  <w:endnote w:type="continuationSeparator" w:id="0">
    <w:p w:rsidR="00301C1E" w:rsidRDefault="00301C1E" w:rsidP="0054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55" w:rsidRDefault="00546555">
    <w:pPr>
      <w:pStyle w:val="Footer"/>
      <w:jc w:val="center"/>
    </w:pPr>
  </w:p>
  <w:p w:rsidR="00546555" w:rsidRDefault="00546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1E" w:rsidRDefault="00301C1E" w:rsidP="00546555">
      <w:pPr>
        <w:spacing w:after="0" w:line="240" w:lineRule="auto"/>
      </w:pPr>
      <w:r>
        <w:separator/>
      </w:r>
    </w:p>
  </w:footnote>
  <w:footnote w:type="continuationSeparator" w:id="0">
    <w:p w:rsidR="00301C1E" w:rsidRDefault="00301C1E" w:rsidP="0054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727"/>
    <w:multiLevelType w:val="hybridMultilevel"/>
    <w:tmpl w:val="69A2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069"/>
    <w:multiLevelType w:val="hybridMultilevel"/>
    <w:tmpl w:val="6B8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F"/>
    <w:rsid w:val="00025C95"/>
    <w:rsid w:val="00044C9D"/>
    <w:rsid w:val="000808C9"/>
    <w:rsid w:val="0009045E"/>
    <w:rsid w:val="000C6E78"/>
    <w:rsid w:val="000F780C"/>
    <w:rsid w:val="00164233"/>
    <w:rsid w:val="00222EC9"/>
    <w:rsid w:val="0026027F"/>
    <w:rsid w:val="002727D5"/>
    <w:rsid w:val="002F2C2F"/>
    <w:rsid w:val="00301C1E"/>
    <w:rsid w:val="003651A3"/>
    <w:rsid w:val="004942E7"/>
    <w:rsid w:val="005001E4"/>
    <w:rsid w:val="00522573"/>
    <w:rsid w:val="00546555"/>
    <w:rsid w:val="005651B2"/>
    <w:rsid w:val="006A4B52"/>
    <w:rsid w:val="006B04AD"/>
    <w:rsid w:val="00725555"/>
    <w:rsid w:val="00766544"/>
    <w:rsid w:val="007C6015"/>
    <w:rsid w:val="00933755"/>
    <w:rsid w:val="00967CA3"/>
    <w:rsid w:val="00990C8A"/>
    <w:rsid w:val="009E4EB2"/>
    <w:rsid w:val="00C82EA9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9AC31-A448-4FE3-B171-4A68445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55"/>
  </w:style>
  <w:style w:type="paragraph" w:styleId="Footer">
    <w:name w:val="footer"/>
    <w:basedOn w:val="Normal"/>
    <w:link w:val="FooterChar"/>
    <w:uiPriority w:val="99"/>
    <w:unhideWhenUsed/>
    <w:rsid w:val="0054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55"/>
  </w:style>
  <w:style w:type="paragraph" w:styleId="BalloonText">
    <w:name w:val="Balloon Text"/>
    <w:basedOn w:val="Normal"/>
    <w:link w:val="BalloonTextChar"/>
    <w:uiPriority w:val="99"/>
    <w:semiHidden/>
    <w:unhideWhenUsed/>
    <w:rsid w:val="006A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 Wilson</cp:lastModifiedBy>
  <cp:revision>8</cp:revision>
  <cp:lastPrinted>2016-04-30T19:26:00Z</cp:lastPrinted>
  <dcterms:created xsi:type="dcterms:W3CDTF">2016-02-28T19:48:00Z</dcterms:created>
  <dcterms:modified xsi:type="dcterms:W3CDTF">2016-04-30T19:27:00Z</dcterms:modified>
</cp:coreProperties>
</file>